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05C9D" w:rsidRDefault="00005C9D">
      <w:pPr>
        <w:widowControl/>
        <w:tabs>
          <w:tab w:val="center" w:pos="0"/>
        </w:tabs>
        <w:ind w:left="0" w:hanging="2"/>
        <w:rPr>
          <w:rFonts w:ascii="Times New Roman" w:eastAsia="Times New Roman" w:hAnsi="Times New Roman" w:cs="Times New Roman"/>
          <w:sz w:val="22"/>
          <w:szCs w:val="22"/>
        </w:rPr>
      </w:pPr>
    </w:p>
    <w:p w14:paraId="00000002" w14:textId="77777777" w:rsidR="00005C9D" w:rsidRPr="00183D71" w:rsidRDefault="005C609E" w:rsidP="00183D71">
      <w:pPr>
        <w:pStyle w:val="Heading1"/>
        <w:ind w:left="0" w:hanging="2"/>
        <w:jc w:val="center"/>
        <w:rPr>
          <w:rFonts w:ascii="Times New Roman" w:hAnsi="Times New Roman" w:cs="Times New Roman"/>
          <w:sz w:val="22"/>
        </w:rPr>
      </w:pPr>
      <w:r w:rsidRPr="00183D71">
        <w:rPr>
          <w:rFonts w:ascii="Times New Roman" w:hAnsi="Times New Roman" w:cs="Times New Roman"/>
          <w:sz w:val="22"/>
        </w:rPr>
        <w:t>PROMISSORY NOTE</w:t>
      </w:r>
    </w:p>
    <w:p w14:paraId="67AC3263" w14:textId="77777777" w:rsidR="00CC2F92" w:rsidRDefault="00CC2F9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sz w:val="22"/>
          <w:szCs w:val="22"/>
        </w:rPr>
      </w:pPr>
      <w:bookmarkStart w:id="0" w:name="_GoBack"/>
      <w:bookmarkEnd w:id="0"/>
    </w:p>
    <w:p w14:paraId="00000004"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sz w:val="22"/>
          <w:szCs w:val="22"/>
        </w:rPr>
      </w:pPr>
    </w:p>
    <w:p w14:paraId="00000005" w14:textId="77777777" w:rsidR="00005C9D" w:rsidRDefault="005C609E">
      <w:pPr>
        <w:widowControl/>
        <w:tabs>
          <w:tab w:val="right" w:pos="9360"/>
        </w:tabs>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$«AMOUNT_NUMERALS.00»</w:t>
      </w:r>
      <w:r>
        <w:rPr>
          <w:rFonts w:ascii="Times New Roman" w:eastAsia="Times New Roman" w:hAnsi="Times New Roman" w:cs="Times New Roman"/>
          <w:sz w:val="22"/>
          <w:szCs w:val="22"/>
        </w:rPr>
        <w:tab/>
        <w:t>__________________, Maryland</w:t>
      </w:r>
    </w:p>
    <w:p w14:paraId="00000006" w14:textId="5415F7C6" w:rsidR="00005C9D" w:rsidRDefault="005C609E">
      <w:pPr>
        <w:widowControl/>
        <w:tabs>
          <w:tab w:val="right" w:pos="9360"/>
        </w:tabs>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ab/>
        <w:t>___________________</w:t>
      </w:r>
      <w:r w:rsidR="00680688">
        <w:rPr>
          <w:rFonts w:ascii="Times New Roman" w:eastAsia="Times New Roman" w:hAnsi="Times New Roman" w:cs="Times New Roman"/>
          <w:sz w:val="22"/>
          <w:szCs w:val="22"/>
        </w:rPr>
        <w:t xml:space="preserve">                                                                       ______________</w:t>
      </w:r>
      <w:r w:rsidR="008507E4">
        <w:rPr>
          <w:rFonts w:ascii="Times New Roman" w:eastAsia="Times New Roman" w:hAnsi="Times New Roman" w:cs="Times New Roman"/>
          <w:sz w:val="22"/>
          <w:szCs w:val="22"/>
        </w:rPr>
        <w:t xml:space="preserve">                     , 202__</w:t>
      </w:r>
    </w:p>
    <w:p w14:paraId="69CF51C6" w14:textId="77777777" w:rsidR="00CC2F92" w:rsidRDefault="00CC2F92">
      <w:pPr>
        <w:widowControl/>
        <w:tabs>
          <w:tab w:val="right" w:pos="9360"/>
        </w:tabs>
        <w:ind w:left="0" w:hanging="2"/>
        <w:rPr>
          <w:rFonts w:ascii="Times New Roman" w:eastAsia="Times New Roman" w:hAnsi="Times New Roman" w:cs="Times New Roman"/>
          <w:sz w:val="22"/>
          <w:szCs w:val="22"/>
        </w:rPr>
      </w:pPr>
    </w:p>
    <w:p w14:paraId="00000007"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08" w14:textId="1B16A549"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FOR VALUE RECEIVED</w:t>
      </w:r>
      <w:r>
        <w:rPr>
          <w:rFonts w:ascii="Times New Roman" w:eastAsia="Times New Roman" w:hAnsi="Times New Roman" w:cs="Times New Roman"/>
          <w:sz w:val="22"/>
          <w:szCs w:val="22"/>
        </w:rPr>
        <w:t>, «BORROWER» ("</w:t>
      </w:r>
      <w:r>
        <w:rPr>
          <w:rFonts w:ascii="Times New Roman" w:eastAsia="Times New Roman" w:hAnsi="Times New Roman" w:cs="Times New Roman"/>
          <w:b/>
          <w:sz w:val="22"/>
          <w:szCs w:val="22"/>
        </w:rPr>
        <w:t>Borrower</w:t>
      </w:r>
      <w:r>
        <w:rPr>
          <w:rFonts w:ascii="Times New Roman" w:eastAsia="Times New Roman" w:hAnsi="Times New Roman" w:cs="Times New Roman"/>
          <w:sz w:val="22"/>
          <w:szCs w:val="22"/>
        </w:rPr>
        <w:t>") promises to pay to the order of the DEPARTMENT OF THE HOUSING AND COMMUNITY DEVELOPMENT OF THE STATE OF MARYLAND (“</w:t>
      </w:r>
      <w:r>
        <w:rPr>
          <w:rFonts w:ascii="Times New Roman" w:eastAsia="Times New Roman" w:hAnsi="Times New Roman" w:cs="Times New Roman"/>
          <w:b/>
          <w:sz w:val="22"/>
          <w:szCs w:val="22"/>
        </w:rPr>
        <w:t>DHCD</w:t>
      </w:r>
      <w:r>
        <w:rPr>
          <w:rFonts w:ascii="Times New Roman" w:eastAsia="Times New Roman" w:hAnsi="Times New Roman" w:cs="Times New Roman"/>
          <w:sz w:val="22"/>
          <w:szCs w:val="22"/>
        </w:rPr>
        <w:t>”), the sum of «AMOUNT_WORDS» AND 00/100</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DOLLARS ($«AMOUNT_NUMERALS.00») (the "</w:t>
      </w:r>
      <w:r>
        <w:rPr>
          <w:rFonts w:ascii="Times New Roman" w:eastAsia="Times New Roman" w:hAnsi="Times New Roman" w:cs="Times New Roman"/>
          <w:b/>
          <w:sz w:val="22"/>
          <w:szCs w:val="22"/>
        </w:rPr>
        <w:t>Loan</w:t>
      </w:r>
      <w:r>
        <w:rPr>
          <w:rFonts w:ascii="Times New Roman" w:eastAsia="Times New Roman" w:hAnsi="Times New Roman" w:cs="Times New Roman"/>
          <w:sz w:val="22"/>
          <w:szCs w:val="22"/>
        </w:rPr>
        <w:t>"), or so much thereof as has been or may be advanced to, or for the account of, the Borrower (the "</w:t>
      </w:r>
      <w:r>
        <w:rPr>
          <w:rFonts w:ascii="Times New Roman" w:eastAsia="Times New Roman" w:hAnsi="Times New Roman" w:cs="Times New Roman"/>
          <w:b/>
          <w:sz w:val="22"/>
          <w:szCs w:val="22"/>
        </w:rPr>
        <w:t>Principal Sum</w:t>
      </w:r>
      <w:r>
        <w:rPr>
          <w:rFonts w:ascii="Times New Roman" w:eastAsia="Times New Roman" w:hAnsi="Times New Roman" w:cs="Times New Roman"/>
          <w:sz w:val="22"/>
          <w:szCs w:val="22"/>
        </w:rPr>
        <w:t xml:space="preserve">"), together with interest payable as set forth below.  </w:t>
      </w:r>
      <w:r w:rsidRPr="005C609E">
        <w:rPr>
          <w:rFonts w:ascii="Times New Roman" w:eastAsia="Times New Roman" w:hAnsi="Times New Roman" w:cs="Times New Roman"/>
          <w:sz w:val="22"/>
          <w:szCs w:val="22"/>
        </w:rPr>
        <w:t>All capitalized terms used herein and not otherwise defined herein shall have the meanings ascribed to them in the L</w:t>
      </w:r>
      <w:r>
        <w:rPr>
          <w:rFonts w:ascii="Times New Roman" w:eastAsia="Times New Roman" w:hAnsi="Times New Roman" w:cs="Times New Roman"/>
          <w:sz w:val="22"/>
          <w:szCs w:val="22"/>
        </w:rPr>
        <w:t>oan Agreement by and between the Borrower and DHCD and dated as of even date herewith (the “</w:t>
      </w:r>
      <w:r>
        <w:rPr>
          <w:rFonts w:ascii="Times New Roman" w:eastAsia="Times New Roman" w:hAnsi="Times New Roman" w:cs="Times New Roman"/>
          <w:b/>
          <w:bCs/>
          <w:sz w:val="22"/>
          <w:szCs w:val="22"/>
        </w:rPr>
        <w:t>Loan Agreement</w:t>
      </w:r>
      <w:r>
        <w:rPr>
          <w:rFonts w:ascii="Times New Roman" w:eastAsia="Times New Roman" w:hAnsi="Times New Roman" w:cs="Times New Roman"/>
          <w:sz w:val="22"/>
          <w:szCs w:val="22"/>
        </w:rPr>
        <w:t>”)</w:t>
      </w:r>
      <w:r w:rsidRPr="005C609E">
        <w:rPr>
          <w:rFonts w:ascii="Times New Roman" w:eastAsia="Times New Roman" w:hAnsi="Times New Roman" w:cs="Times New Roman"/>
          <w:sz w:val="22"/>
          <w:szCs w:val="22"/>
        </w:rPr>
        <w:t xml:space="preserve">. All words, terms or phrases used herein and defined in the </w:t>
      </w:r>
      <w:r>
        <w:rPr>
          <w:rFonts w:ascii="Times New Roman" w:eastAsia="Times New Roman" w:hAnsi="Times New Roman" w:cs="Times New Roman"/>
          <w:sz w:val="22"/>
          <w:szCs w:val="22"/>
        </w:rPr>
        <w:t>Loan Agreement</w:t>
      </w:r>
      <w:r w:rsidRPr="005C609E">
        <w:rPr>
          <w:rFonts w:ascii="Times New Roman" w:eastAsia="Times New Roman" w:hAnsi="Times New Roman" w:cs="Times New Roman"/>
          <w:sz w:val="22"/>
          <w:szCs w:val="22"/>
        </w:rPr>
        <w:t xml:space="preserve"> shall have the meanings herein that are ascribed to them in the </w:t>
      </w:r>
      <w:r>
        <w:rPr>
          <w:rFonts w:ascii="Times New Roman" w:eastAsia="Times New Roman" w:hAnsi="Times New Roman" w:cs="Times New Roman"/>
          <w:sz w:val="22"/>
          <w:szCs w:val="22"/>
        </w:rPr>
        <w:t>Loan Agreement</w:t>
      </w:r>
      <w:r w:rsidRPr="005C609E">
        <w:rPr>
          <w:rFonts w:ascii="Times New Roman" w:eastAsia="Times New Roman" w:hAnsi="Times New Roman" w:cs="Times New Roman"/>
          <w:sz w:val="22"/>
          <w:szCs w:val="22"/>
        </w:rPr>
        <w:t xml:space="preserve"> unless herein otherwise expressly specified.</w:t>
      </w:r>
    </w:p>
    <w:p w14:paraId="00000009"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0A" w14:textId="77777777" w:rsidR="00005C9D" w:rsidRDefault="005C609E">
      <w:pPr>
        <w:widowControl/>
        <w:numPr>
          <w:ilvl w:val="0"/>
          <w:numId w:val="1"/>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Borrower promises to pay DHCD the Principal Sum of this Note, together with interest on the Principal Sum at the rate of zero percent (0%) per annum. </w:t>
      </w:r>
    </w:p>
    <w:p w14:paraId="0000000B"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0C" w14:textId="77777777" w:rsidR="00005C9D" w:rsidRDefault="005C609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payments of principal or interest shall be required until the first to occur of the following events:</w:t>
      </w:r>
    </w:p>
    <w:p w14:paraId="0000000D" w14:textId="77777777" w:rsidR="00005C9D" w:rsidRDefault="00005C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000000E" w14:textId="7D46AF07" w:rsidR="00005C9D" w:rsidRDefault="00C74BB0">
      <w:pPr>
        <w:tabs>
          <w:tab w:val="left" w:pos="-1440"/>
          <w:tab w:val="left" w:pos="-720"/>
          <w:tab w:val="left" w:pos="0"/>
          <w:tab w:val="left" w:pos="720"/>
          <w:tab w:val="left" w:pos="81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(a)</w:t>
      </w:r>
      <w:r w:rsidR="005C609E">
        <w:rPr>
          <w:rFonts w:ascii="Times New Roman" w:eastAsia="Times New Roman" w:hAnsi="Times New Roman" w:cs="Times New Roman"/>
          <w:sz w:val="22"/>
          <w:szCs w:val="22"/>
        </w:rPr>
        <w:tab/>
        <w:t>(i) passage of the date that is that is () ________months from the date of this Note (the “</w:t>
      </w:r>
      <w:r w:rsidR="005C609E">
        <w:rPr>
          <w:rFonts w:ascii="Times New Roman" w:eastAsia="Times New Roman" w:hAnsi="Times New Roman" w:cs="Times New Roman"/>
          <w:b/>
          <w:sz w:val="22"/>
          <w:szCs w:val="22"/>
        </w:rPr>
        <w:t>Maturity Date</w:t>
      </w:r>
      <w:r w:rsidR="005C609E">
        <w:rPr>
          <w:rFonts w:ascii="Times New Roman" w:eastAsia="Times New Roman" w:hAnsi="Times New Roman" w:cs="Times New Roman"/>
          <w:sz w:val="22"/>
          <w:szCs w:val="22"/>
        </w:rPr>
        <w:t>”);</w:t>
      </w:r>
    </w:p>
    <w:p w14:paraId="0000000F" w14:textId="77777777" w:rsidR="00005C9D" w:rsidRDefault="00005C9D">
      <w:pPr>
        <w:tabs>
          <w:tab w:val="left" w:pos="-1440"/>
          <w:tab w:val="left" w:pos="-720"/>
          <w:tab w:val="left" w:pos="0"/>
          <w:tab w:val="left" w:pos="720"/>
          <w:tab w:val="left" w:pos="81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0000010" w14:textId="618A1B20" w:rsidR="00005C9D" w:rsidRDefault="00C74BB0">
      <w:pPr>
        <w:tabs>
          <w:tab w:val="left" w:pos="-1440"/>
          <w:tab w:val="left" w:pos="-720"/>
          <w:tab w:val="left" w:pos="0"/>
          <w:tab w:val="left" w:pos="720"/>
          <w:tab w:val="left" w:pos="81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(ii)</w:t>
      </w:r>
      <w:r w:rsidR="005C609E">
        <w:rPr>
          <w:rFonts w:ascii="Times New Roman" w:eastAsia="Times New Roman" w:hAnsi="Times New Roman" w:cs="Times New Roman"/>
          <w:sz w:val="22"/>
          <w:szCs w:val="22"/>
        </w:rPr>
        <w:tab/>
        <w:t>the refinancing, sale, transfer, conveyance or any encumbrance of the Project or homeownership unit in the Project (as described in the Loan Agreement of even date herewith, or as otherwise agreed to in writing by DHCD) or portion thereof to a third party except as provided in subparagraph (b);</w:t>
      </w:r>
    </w:p>
    <w:p w14:paraId="00000011" w14:textId="77777777" w:rsidR="00005C9D" w:rsidRDefault="00005C9D">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0000012" w14:textId="22340EC2" w:rsidR="00005C9D" w:rsidRDefault="005C609E">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C74BB0">
        <w:rPr>
          <w:rFonts w:ascii="Times New Roman" w:eastAsia="Times New Roman" w:hAnsi="Times New Roman" w:cs="Times New Roman"/>
          <w:sz w:val="22"/>
          <w:szCs w:val="22"/>
        </w:rPr>
        <w:tab/>
      </w:r>
      <w:r>
        <w:rPr>
          <w:rFonts w:ascii="Times New Roman" w:eastAsia="Times New Roman" w:hAnsi="Times New Roman" w:cs="Times New Roman"/>
          <w:sz w:val="22"/>
          <w:szCs w:val="22"/>
        </w:rPr>
        <w:t>(iii)</w:t>
      </w:r>
      <w:r>
        <w:rPr>
          <w:rFonts w:ascii="Times New Roman" w:eastAsia="Times New Roman" w:hAnsi="Times New Roman" w:cs="Times New Roman"/>
          <w:sz w:val="22"/>
          <w:szCs w:val="22"/>
        </w:rPr>
        <w:tab/>
        <w:t xml:space="preserve">default under the Loan </w:t>
      </w:r>
      <w:r w:rsidR="00C74BB0">
        <w:rPr>
          <w:rFonts w:ascii="Times New Roman" w:eastAsia="Times New Roman" w:hAnsi="Times New Roman" w:cs="Times New Roman"/>
          <w:sz w:val="22"/>
          <w:szCs w:val="22"/>
        </w:rPr>
        <w:t>D</w:t>
      </w:r>
      <w:r>
        <w:rPr>
          <w:rFonts w:ascii="Times New Roman" w:eastAsia="Times New Roman" w:hAnsi="Times New Roman" w:cs="Times New Roman"/>
          <w:sz w:val="22"/>
          <w:szCs w:val="22"/>
        </w:rPr>
        <w:t>ocuments;</w:t>
      </w:r>
    </w:p>
    <w:p w14:paraId="00000013" w14:textId="77777777" w:rsidR="00005C9D" w:rsidRDefault="00005C9D">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0000014" w14:textId="3E0361B4" w:rsidR="00005C9D" w:rsidRDefault="00C74BB0">
      <w:pPr>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(iv)</w:t>
      </w:r>
      <w:r w:rsidR="005C609E">
        <w:rPr>
          <w:rFonts w:ascii="Times New Roman" w:eastAsia="Times New Roman" w:hAnsi="Times New Roman" w:cs="Times New Roman"/>
          <w:sz w:val="22"/>
          <w:szCs w:val="22"/>
        </w:rPr>
        <w:tab/>
        <w:t>discontinuance of use of the Project to provide affordable homeownership housing; or</w:t>
      </w:r>
    </w:p>
    <w:p w14:paraId="00000015" w14:textId="77777777" w:rsidR="00005C9D" w:rsidRDefault="00005C9D">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0000016" w14:textId="4226F25B" w:rsidR="00005C9D" w:rsidRDefault="00C74BB0">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5C609E">
        <w:rPr>
          <w:rFonts w:ascii="Times New Roman" w:eastAsia="Times New Roman" w:hAnsi="Times New Roman" w:cs="Times New Roman"/>
          <w:sz w:val="22"/>
          <w:szCs w:val="22"/>
        </w:rPr>
        <w:t>(v)</w:t>
      </w:r>
      <w:r w:rsidR="005C609E">
        <w:rPr>
          <w:rFonts w:ascii="Times New Roman" w:eastAsia="Times New Roman" w:hAnsi="Times New Roman" w:cs="Times New Roman"/>
          <w:sz w:val="22"/>
          <w:szCs w:val="22"/>
        </w:rPr>
        <w:tab/>
        <w:t xml:space="preserve">termination of the Project or activity, in DHCD’s </w:t>
      </w:r>
      <w:r>
        <w:rPr>
          <w:rFonts w:ascii="Times New Roman" w:eastAsia="Times New Roman" w:hAnsi="Times New Roman" w:cs="Times New Roman"/>
          <w:sz w:val="22"/>
          <w:szCs w:val="22"/>
        </w:rPr>
        <w:t>sole and absolute discretion</w:t>
      </w:r>
      <w:r w:rsidR="005C609E">
        <w:rPr>
          <w:rFonts w:ascii="Times New Roman" w:eastAsia="Times New Roman" w:hAnsi="Times New Roman" w:cs="Times New Roman"/>
          <w:sz w:val="22"/>
          <w:szCs w:val="22"/>
        </w:rPr>
        <w:t>.</w:t>
      </w:r>
    </w:p>
    <w:p w14:paraId="00000017" w14:textId="77777777" w:rsidR="00005C9D" w:rsidRDefault="00005C9D">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4BB09BC1" w14:textId="77777777" w:rsidR="00DC5014" w:rsidRDefault="005C609E"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1542AAE" w14:textId="3026CC7A" w:rsidR="00DC5014" w:rsidRPr="00907135" w:rsidRDefault="00DC5014"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w:t>
      </w:r>
      <w:r>
        <w:rPr>
          <w:rFonts w:ascii="Times New Roman" w:eastAsia="Times New Roman" w:hAnsi="Times New Roman" w:cs="Times New Roman"/>
          <w:sz w:val="22"/>
          <w:szCs w:val="22"/>
        </w:rPr>
        <w:tab/>
      </w:r>
      <w:bookmarkStart w:id="1" w:name="_Hlk191199968"/>
      <w:bookmarkStart w:id="2" w:name="_Hlk191199922"/>
      <w:r w:rsidRPr="00907135">
        <w:rPr>
          <w:rFonts w:ascii="Times New Roman" w:eastAsia="Times New Roman" w:hAnsi="Times New Roman" w:cs="Times New Roman"/>
          <w:position w:val="0"/>
          <w:sz w:val="22"/>
          <w:szCs w:val="22"/>
        </w:rPr>
        <w:t xml:space="preserve"> Upon completion of a homeownership unit in the Project (any such unit a “Completed Unit”) and approved sale of such unit, DHCD shall forgive a portion of the loan.  Approval of sale will be based upon the review of the sales price and consideration, the homebuyer warranty to be provided, the unit construction close-out package including lien releases and warranties, and any other items deemed by DHCD as appropriate.  The portion of the loan to be forgiven will be a fraction of the loan amount </w:t>
      </w:r>
      <w:r w:rsidRPr="00907135">
        <w:rPr>
          <w:rFonts w:ascii="Times New Roman" w:eastAsia="Times New Roman" w:hAnsi="Times New Roman" w:cs="Times New Roman"/>
          <w:position w:val="0"/>
          <w:sz w:val="22"/>
          <w:szCs w:val="22"/>
        </w:rPr>
        <w:lastRenderedPageBreak/>
        <w:t>calculated by dividing the Total Loan Amount less the "Hold Back"</w:t>
      </w:r>
      <w:r w:rsidR="00CC2F92">
        <w:rPr>
          <w:rStyle w:val="FootnoteReference"/>
          <w:rFonts w:ascii="Times New Roman" w:eastAsia="Times New Roman" w:hAnsi="Times New Roman" w:cs="Times New Roman"/>
          <w:sz w:val="22"/>
          <w:szCs w:val="22"/>
        </w:rPr>
        <w:footnoteReference w:id="1"/>
      </w:r>
      <w:r w:rsidRPr="00907135">
        <w:rPr>
          <w:rFonts w:ascii="Times New Roman" w:eastAsia="Times New Roman" w:hAnsi="Times New Roman" w:cs="Times New Roman"/>
          <w:position w:val="0"/>
          <w:sz w:val="22"/>
          <w:szCs w:val="22"/>
        </w:rPr>
        <w:t xml:space="preserve"> amount by the total number of units in the project </w:t>
      </w:r>
      <w:r w:rsidRPr="00907135">
        <w:rPr>
          <w:rFonts w:ascii="Times New Roman" w:eastAsia="Times New Roman" w:hAnsi="Times New Roman" w:cs="Times New Roman"/>
          <w:sz w:val="22"/>
          <w:szCs w:val="22"/>
        </w:rPr>
        <w:t>(such amount referred to hereinafter as the “</w:t>
      </w:r>
      <w:r w:rsidRPr="00907135">
        <w:rPr>
          <w:rFonts w:ascii="Times New Roman" w:eastAsia="Times New Roman" w:hAnsi="Times New Roman" w:cs="Times New Roman"/>
          <w:b/>
          <w:bCs/>
          <w:sz w:val="22"/>
          <w:szCs w:val="22"/>
        </w:rPr>
        <w:t>Subsidy Amount</w:t>
      </w:r>
      <w:r w:rsidRPr="00907135">
        <w:rPr>
          <w:rFonts w:ascii="Times New Roman" w:eastAsia="Times New Roman" w:hAnsi="Times New Roman" w:cs="Times New Roman"/>
          <w:sz w:val="22"/>
          <w:szCs w:val="22"/>
        </w:rPr>
        <w:t>”) provided:</w:t>
      </w:r>
    </w:p>
    <w:p w14:paraId="24F640CF" w14:textId="77777777" w:rsidR="00DC5014" w:rsidRPr="00907135" w:rsidRDefault="00DC5014" w:rsidP="00DC5014">
      <w:pPr>
        <w:shd w:val="clear" w:color="auto" w:fill="FFFFFF"/>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2"/>
          <w:szCs w:val="22"/>
        </w:rPr>
      </w:pPr>
    </w:p>
    <w:bookmarkEnd w:id="1"/>
    <w:p w14:paraId="0EBF1F2C" w14:textId="77777777" w:rsidR="00DC5014" w:rsidRDefault="00DC5014"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the Purchaser agrees to and executes a promissory note evidencing a forgivable loan to DHCD in an amount equal to the Subsidy Amount; and </w:t>
      </w:r>
    </w:p>
    <w:p w14:paraId="551B8EE9" w14:textId="77777777" w:rsidR="00DC5014" w:rsidRDefault="00DC5014"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1D4655C4" w14:textId="77777777" w:rsidR="00DC5014" w:rsidRDefault="00DC5014"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(ii)  the Purchaser agrees to use the Completed Unit as their principal residence.  </w:t>
      </w:r>
    </w:p>
    <w:bookmarkEnd w:id="2"/>
    <w:p w14:paraId="2E5500DE" w14:textId="77777777" w:rsidR="00DC5014" w:rsidRDefault="00DC5014"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E0F1520" w14:textId="77777777" w:rsidR="00DC5014" w:rsidRPr="00E66329" w:rsidRDefault="00DC5014" w:rsidP="00CC2F92">
      <w:pPr>
        <w:pStyle w:val="ListParagraph1"/>
        <w:tabs>
          <w:tab w:val="left" w:pos="-1440"/>
          <w:tab w:val="left" w:pos="-720"/>
          <w:tab w:val="left" w:pos="0"/>
          <w:tab w:val="left" w:pos="720"/>
          <w:tab w:val="left" w:pos="1440"/>
          <w:tab w:val="left" w:pos="4320"/>
          <w:tab w:val="left" w:pos="5040"/>
          <w:tab w:val="left" w:pos="5760"/>
          <w:tab w:val="left" w:pos="6480"/>
          <w:tab w:val="left" w:pos="7200"/>
          <w:tab w:val="left" w:pos="7920"/>
          <w:tab w:val="left" w:pos="8640"/>
          <w:tab w:val="left" w:pos="9360"/>
          <w:tab w:val="left" w:pos="10080"/>
          <w:tab w:val="left" w:pos="10800"/>
        </w:tabs>
        <w:ind w:leftChars="0" w:left="0" w:firstLineChars="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tab/>
      </w:r>
      <w:r>
        <w:rPr>
          <w:rFonts w:ascii="Times New Roman" w:eastAsia="Times New Roman" w:hAnsi="Times New Roman" w:cs="Times New Roman"/>
          <w:sz w:val="22"/>
          <w:szCs w:val="22"/>
        </w:rPr>
        <w:t xml:space="preserve">To the extent not forgiven pursuant to Section 2(b) above, the amount due under this Note and all other Loan Documents (as defined below), together with all unpaid and accrued interest thereon, shall be due and payable on the first to occur of the events set forth in </w:t>
      </w:r>
      <w:r w:rsidRPr="00183D71">
        <w:rPr>
          <w:rFonts w:ascii="Times New Roman" w:eastAsia="Times New Roman" w:hAnsi="Times New Roman" w:cs="Times New Roman"/>
          <w:i/>
          <w:sz w:val="22"/>
          <w:szCs w:val="22"/>
        </w:rPr>
        <w:t>Section 2(a).</w:t>
      </w:r>
    </w:p>
    <w:p w14:paraId="0000001F" w14:textId="73AA233F" w:rsidR="00005C9D" w:rsidRDefault="00005C9D" w:rsidP="00DC501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0" w:hanging="2"/>
        <w:jc w:val="both"/>
        <w:rPr>
          <w:rFonts w:ascii="Times New Roman" w:eastAsia="Times New Roman" w:hAnsi="Times New Roman" w:cs="Times New Roman"/>
          <w:sz w:val="22"/>
          <w:szCs w:val="22"/>
        </w:rPr>
      </w:pPr>
    </w:p>
    <w:p w14:paraId="00000020"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4.</w:t>
      </w:r>
      <w:r>
        <w:rPr>
          <w:rFonts w:ascii="Times New Roman" w:eastAsia="Times New Roman" w:hAnsi="Times New Roman" w:cs="Times New Roman"/>
          <w:sz w:val="22"/>
          <w:szCs w:val="22"/>
        </w:rPr>
        <w:tab/>
        <w:t>The Borrower may prepay, without penalty, any sums due under this Note, in whole or in part, without the prior written consent of DHCD.</w:t>
      </w:r>
    </w:p>
    <w:p w14:paraId="00000021"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2"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5.</w:t>
      </w:r>
      <w:r>
        <w:rPr>
          <w:rFonts w:ascii="Times New Roman" w:eastAsia="Times New Roman" w:hAnsi="Times New Roman" w:cs="Times New Roman"/>
          <w:sz w:val="22"/>
          <w:szCs w:val="22"/>
        </w:rPr>
        <w:tab/>
        <w:t>The obligations of the Borrower evidenced by this Note may be secured by, guaranteed by, and are part of the obligations referred to in, any security agreement, guaranty agreement, deed of trust, pledge agreement, loan agreement, or any other document previously, simultaneously, or hereafter executed and delivered by the Borrower or by any other party (collectively, the "</w:t>
      </w:r>
      <w:r>
        <w:rPr>
          <w:rFonts w:ascii="Times New Roman" w:eastAsia="Times New Roman" w:hAnsi="Times New Roman" w:cs="Times New Roman"/>
          <w:b/>
          <w:sz w:val="22"/>
          <w:szCs w:val="22"/>
        </w:rPr>
        <w:t>Loan Documents</w:t>
      </w:r>
      <w:r>
        <w:rPr>
          <w:rFonts w:ascii="Times New Roman" w:eastAsia="Times New Roman" w:hAnsi="Times New Roman" w:cs="Times New Roman"/>
          <w:sz w:val="22"/>
          <w:szCs w:val="22"/>
        </w:rPr>
        <w:t>") as security for, as a guaranty of, or in connection with, obligations of the Borrower or any other person to DHCD or to any other Holder (as hereinafter defined) of this Note, whether or not this Note is specifically referred to therein.</w:t>
      </w:r>
    </w:p>
    <w:p w14:paraId="00000023"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4"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6.</w:t>
      </w:r>
      <w:r>
        <w:rPr>
          <w:rFonts w:ascii="Times New Roman" w:eastAsia="Times New Roman" w:hAnsi="Times New Roman" w:cs="Times New Roman"/>
          <w:sz w:val="22"/>
          <w:szCs w:val="22"/>
        </w:rPr>
        <w:tab/>
        <w:t>All payments, including permitted prepayments, made on account of this Note (a) shall be paid in lawful money of the United States of America during regular business hours at XXX, or at such other place as the holder of this Note (the “</w:t>
      </w:r>
      <w:r>
        <w:rPr>
          <w:rFonts w:ascii="Times New Roman" w:eastAsia="Times New Roman" w:hAnsi="Times New Roman" w:cs="Times New Roman"/>
          <w:b/>
          <w:sz w:val="22"/>
          <w:szCs w:val="22"/>
        </w:rPr>
        <w:t>Holder</w:t>
      </w:r>
      <w:r>
        <w:rPr>
          <w:rFonts w:ascii="Times New Roman" w:eastAsia="Times New Roman" w:hAnsi="Times New Roman" w:cs="Times New Roman"/>
          <w:sz w:val="22"/>
          <w:szCs w:val="22"/>
        </w:rPr>
        <w:t>”) may at any time or from time to time designate in writing to the Borrower, and (b) shall be applied first, to the payment of any and all accrued and unpaid late charges then due hereunder; second, to the payment of any outstanding or then due prepayment fees, if any; third, to the payment of any outstanding collection and/or enforcement costs and/or fees incurred by, or on behalf of, DHCD, in connection with the collection and/or enforcement of any of the Borrower's obligations to DHCD evidenced by this Note or any of the other Loan Documents; fourth, to the payment of any and all accrued and unpaid interest; and the remainder, if any, shall be applied to the Principal Sum, with application first made to all installments then due and outstanding hereunder, next to the outstanding principal balance due and owing at maturity, and then to the installments in the inverse order of their maturities.  All payments shall be deemed made when received by DHCD in collected funds.</w:t>
      </w:r>
    </w:p>
    <w:p w14:paraId="00000025"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6"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7.</w:t>
      </w:r>
      <w:r>
        <w:rPr>
          <w:rFonts w:ascii="Times New Roman" w:eastAsia="Times New Roman" w:hAnsi="Times New Roman" w:cs="Times New Roman"/>
          <w:sz w:val="22"/>
          <w:szCs w:val="22"/>
        </w:rPr>
        <w:tab/>
        <w:t>If the Borrower fails to make any payment under the terms of this Note within ten (10) days after the date such payment is due, the Borrower agrees to pay to DHCD on demand a Late Charge ("</w:t>
      </w:r>
      <w:r>
        <w:rPr>
          <w:rFonts w:ascii="Times New Roman" w:eastAsia="Times New Roman" w:hAnsi="Times New Roman" w:cs="Times New Roman"/>
          <w:b/>
          <w:sz w:val="22"/>
          <w:szCs w:val="22"/>
        </w:rPr>
        <w:t>Late Charge</w:t>
      </w:r>
      <w:r>
        <w:rPr>
          <w:rFonts w:ascii="Times New Roman" w:eastAsia="Times New Roman" w:hAnsi="Times New Roman" w:cs="Times New Roman"/>
          <w:sz w:val="22"/>
          <w:szCs w:val="22"/>
        </w:rPr>
        <w:t xml:space="preserve">") equal to five percent (5%) of the amount of such payment.  Such ten (10) day period shall not be construed as in any way extending the due date of any payment.  The Late Charge is imposed for the </w:t>
      </w:r>
      <w:r>
        <w:rPr>
          <w:rFonts w:ascii="Times New Roman" w:eastAsia="Times New Roman" w:hAnsi="Times New Roman" w:cs="Times New Roman"/>
          <w:sz w:val="22"/>
          <w:szCs w:val="22"/>
        </w:rPr>
        <w:lastRenderedPageBreak/>
        <w:t>purpose of defraying DHCD's expenses incident to handling such delinquent payment.  This Late Charge shall be in addition to, and not in lieu of, any other remedy DHCD may have and is in addition to any fees and charges of any agents or attorneys that DHCD may employ upon any Event of Default (hereinafter defined) hereunder, whether authorized herein or by law.  Such Late Charge, if not previously paid, shall, at the option of DHCD, be added to, and become part of, the succeeding payment to be made under the terms of this Note.</w:t>
      </w:r>
    </w:p>
    <w:p w14:paraId="00000027"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8"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8.</w:t>
      </w:r>
      <w:r>
        <w:rPr>
          <w:rFonts w:ascii="Times New Roman" w:eastAsia="Times New Roman" w:hAnsi="Times New Roman" w:cs="Times New Roman"/>
          <w:sz w:val="22"/>
          <w:szCs w:val="22"/>
        </w:rPr>
        <w:tab/>
        <w:t>Each Obligor (as used herein, “</w:t>
      </w:r>
      <w:r>
        <w:rPr>
          <w:rFonts w:ascii="Times New Roman" w:eastAsia="Times New Roman" w:hAnsi="Times New Roman" w:cs="Times New Roman"/>
          <w:b/>
          <w:sz w:val="22"/>
          <w:szCs w:val="22"/>
        </w:rPr>
        <w:t>Obligor</w:t>
      </w:r>
      <w:r>
        <w:rPr>
          <w:rFonts w:ascii="Times New Roman" w:eastAsia="Times New Roman" w:hAnsi="Times New Roman" w:cs="Times New Roman"/>
          <w:sz w:val="22"/>
          <w:szCs w:val="22"/>
        </w:rPr>
        <w:t>” shall include the Borrower and each endorser, guarantor, accommodation party, and surety of this Note) hereby severally waives valuation and appraisement; presentment for payment; protest and demand; notice of demand, of dishonor, of non-payment of this Note, and of protest; and agrees that at any time and from time to time and with or without consideration, the Holder may, without notice to, or further consent of, any Obligor and without in any manner releasing, lessening, impairing, or affecting the obligations of any Obligor hereunder and/or under any of the Loan Documents: (a) release, surrender, waive, add, substitute, settle, exchange, compromise, modify, extend, or grant indulgences with respect to, (i) this Note, (ii) any of the Loan Documents, (iii) all or any part of any collateral or security for this Note, and (iv) any Obligor; (b) complete any blank space in this Note according to the terms upon which the Loan evidenced hereby is made; and (c) grant any extension or other postponements of the time of payment hereof.  Notwithstanding anything to the contrary contained herein this Note may not be modified without the consent of the Borrower.  If the Borrower consists of two (2) or more parties the term "</w:t>
      </w:r>
      <w:r>
        <w:rPr>
          <w:rFonts w:ascii="Times New Roman" w:eastAsia="Times New Roman" w:hAnsi="Times New Roman" w:cs="Times New Roman"/>
          <w:b/>
          <w:sz w:val="22"/>
          <w:szCs w:val="22"/>
        </w:rPr>
        <w:t>Borrower</w:t>
      </w:r>
      <w:r>
        <w:rPr>
          <w:rFonts w:ascii="Times New Roman" w:eastAsia="Times New Roman" w:hAnsi="Times New Roman" w:cs="Times New Roman"/>
          <w:sz w:val="22"/>
          <w:szCs w:val="22"/>
        </w:rPr>
        <w:t>" as used herein means each of such parties, jointly and severally, and their obligations hereunder are joint and several.  The Holder may (without notice to, or consent of, any of the Borrowers or any other Obligor, and with or without consideration) release, compromise, settle with, or proceed against any one or more of the Borrowers or any other Obligor without releasing, lessening, impairing, or affecting the obligations hereunder or under any of the Loan Documents of the other or others, of the Borrower, or any other Obligor.  The term "</w:t>
      </w:r>
      <w:r>
        <w:rPr>
          <w:rFonts w:ascii="Times New Roman" w:eastAsia="Times New Roman" w:hAnsi="Times New Roman" w:cs="Times New Roman"/>
          <w:b/>
          <w:sz w:val="22"/>
          <w:szCs w:val="22"/>
        </w:rPr>
        <w:t>Holder</w:t>
      </w:r>
      <w:r>
        <w:rPr>
          <w:rFonts w:ascii="Times New Roman" w:eastAsia="Times New Roman" w:hAnsi="Times New Roman" w:cs="Times New Roman"/>
          <w:sz w:val="22"/>
          <w:szCs w:val="22"/>
        </w:rPr>
        <w:t>" as used herein means the holder of this Note, including DHCD, its successors and assigns.</w:t>
      </w:r>
    </w:p>
    <w:p w14:paraId="00000029"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A" w14:textId="5BE566DC" w:rsidR="00005C9D" w:rsidRDefault="005C609E">
      <w:pPr>
        <w:widowControl/>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9.</w:t>
      </w:r>
      <w:r>
        <w:rPr>
          <w:rFonts w:ascii="Times New Roman" w:eastAsia="Times New Roman" w:hAnsi="Times New Roman" w:cs="Times New Roman"/>
          <w:sz w:val="22"/>
          <w:szCs w:val="22"/>
        </w:rPr>
        <w:tab/>
        <w:t>(a)  The occurrence of any one or more of the following events shall constitute an Event of Default ("</w:t>
      </w:r>
      <w:r>
        <w:rPr>
          <w:rFonts w:ascii="Times New Roman" w:eastAsia="Times New Roman" w:hAnsi="Times New Roman" w:cs="Times New Roman"/>
          <w:b/>
          <w:sz w:val="22"/>
          <w:szCs w:val="22"/>
        </w:rPr>
        <w:t>Event of Default</w:t>
      </w:r>
      <w:r>
        <w:rPr>
          <w:rFonts w:ascii="Times New Roman" w:eastAsia="Times New Roman" w:hAnsi="Times New Roman" w:cs="Times New Roman"/>
          <w:sz w:val="22"/>
          <w:szCs w:val="22"/>
        </w:rPr>
        <w:t xml:space="preserve">") under this Note: (i) the failure of the Borrower to pay when due any amount required to be paid under this Note or any of the other Loan Documents; (ii) the death of any Obligor; (iii) any change in the ownership or control of any Obligor without the prior written consent of the Holder (if such Obligor is not a natural person); (iv) the failure of any Obligor to perform or comply with any of the provisions hereof and/or any of the Loan Documents, if such failure continues beyond the expiration of any applicable notice and cure provisions contained therein; (v) the occurrence of a default or Event of Default (as defined therein) under any of the Loan Documents; (vi) failure to maintain a status of good standing with the State Department of Assessments and Taxation (vii) the failure of any Obligor to furnish to DHCD financial statements as required by DHCD; (viii) if any information contained in any financial statement, application, schedule, report, or any other document given by the Borrower or any other party in connection with the obligations of the Borrower evidenced by this Note or any of the Loan Documents is not in all respects true and accurate or if the Borrower or such other party failed to state or omitted any material fact or any fact necessary to make such information not misleading; (ix) the filing of any petition under the Bankruptcy Code or any similar federal or state statute by or against any Obligor; (x) an application for the appointment of a receiver for, the making of a general assignment for the benefit of creditors by, or the insolvency of, any Obligor; (xi) the dissolution, merger, consolidation, or reorganization of any Obligor; (xii) the determination in good faith by DHCD that a material adverse change has occurred in the financial condition of any Obligor from the condition set forth in the most recent financial statement of such Obligor heretofore furnished to DHCD, or from the financial condition of such Obligor as heretofore most recently disclosed to DHCD in any other manner; or (xiii) the determination in good faith by DHCD that the prospect of payment of this Note is impaired for any reason.  (b) Whenever there is an Event of Default under this Note, DHCD may, at its option, (i) accelerate the repayment of the unpaid balance of the Principal Sum, together with all unpaid and accrued </w:t>
      </w:r>
      <w:r>
        <w:rPr>
          <w:rFonts w:ascii="Times New Roman" w:eastAsia="Times New Roman" w:hAnsi="Times New Roman" w:cs="Times New Roman"/>
          <w:sz w:val="22"/>
          <w:szCs w:val="22"/>
        </w:rPr>
        <w:lastRenderedPageBreak/>
        <w:t>interest thereon and other amounts outstanding in connection therewith, to be immediately due and payable; (ii) without notice or demand, have the right to raise the Interest Rate accruing on the Note by 2%; and (iii) exercise any or all rights and remedies available to it hereunder, under applicable laws and under any of the Loan Documents.  The occurrence or non-occurrence of an Event of Default shall in no manner impair the ability of the Holder to demand payment of any portion of the indebtedness evidenced by this Note that is payable on demand.</w:t>
      </w:r>
    </w:p>
    <w:p w14:paraId="0000002B"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C"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10.</w:t>
      </w:r>
      <w:r>
        <w:rPr>
          <w:rFonts w:ascii="Times New Roman" w:eastAsia="Times New Roman" w:hAnsi="Times New Roman" w:cs="Times New Roman"/>
          <w:sz w:val="22"/>
          <w:szCs w:val="22"/>
        </w:rPr>
        <w:tab/>
        <w:t xml:space="preserve">If this Note is placed in the hands of an attorney for collection after maturity (whether by acceleration, declaration, extension or otherwise), the Borrower shall pay on demand all costs and expenses of collection including the reasonable fees of such attorney. </w:t>
      </w:r>
    </w:p>
    <w:p w14:paraId="0000002D"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2E"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11.</w:t>
      </w:r>
      <w:r>
        <w:rPr>
          <w:rFonts w:ascii="Times New Roman" w:eastAsia="Times New Roman" w:hAnsi="Times New Roman" w:cs="Times New Roman"/>
          <w:sz w:val="22"/>
          <w:szCs w:val="22"/>
        </w:rPr>
        <w:tab/>
        <w:t>Each right, power, and remedy of the Holder hereunder, under the Loan Documents, or under applicable laws shall be cumulative and concurrent, and the exercise of any one or more of them shall not preclude the simultaneous or later exercise by the Holder of any or all such other rights, powers, or remedies.  No failure or delay by the Holder to insist upon the strict performance of any one or more provisions of this Note or of the Loan Documents or to exercise any right, power, or remedy consequent upon a breach thereof or Event of Default hereunder shall constitute a waiver thereof, or preclude the Holder from exercising any such right, power, or remedy.  By accepting full or partial payment after the due date of any amount due hereunder, the Holder shall not be deemed to have waived the right either to require payment when due and payable of all other amounts due on account of this Note or to exercise any rights and remedies available to it in order to collect all such amounts. No modification, change, waiver, or amendment of this Note shall be deemed to be made by the Holder unless in writing signed by the Holder, and each such waiver, if any, shall apply only with respect to the specific instance involved.  This Note shall be deemed made in, and shall be governed by the laws of, the State of Maryland without regard to any provision of its principles of conflict of laws that would require the use of the laws of another jurisdiction.  The Borrower hereby warrants and stipulates that the Loan is a Commercial Loan within the meaning of Section 12-101(c)(1) and 12-101(c)(2) of the Commercial Law Article of the Annotated Code of Maryland as amended from time to time, and further warrants that the entire proceeds of the Loan will be used for such purposes.</w:t>
      </w:r>
    </w:p>
    <w:p w14:paraId="0000002F"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30"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12.</w:t>
      </w:r>
      <w:r>
        <w:rPr>
          <w:rFonts w:ascii="Times New Roman" w:eastAsia="Times New Roman" w:hAnsi="Times New Roman" w:cs="Times New Roman"/>
          <w:sz w:val="22"/>
          <w:szCs w:val="22"/>
        </w:rPr>
        <w:tab/>
        <w:t>In the event any one or more of the provisions of this Note shall for any reason be held to be invalid, illegal, or unenforceable, in whole or in part or in any respect, or in the event that any one or more the provisions of this Note operate or would prospectively operate to invalidate this Note, then and in either of those events, such provision or provisions only shall be deemed null and void and shall not affect any other provision of this Note and the remaining provisions of this Note shall remain operative and in full force and effect and shall in no way be affected, prejudiced, or disturbed thereby.</w:t>
      </w:r>
    </w:p>
    <w:p w14:paraId="00000031"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32"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13.       </w:t>
      </w:r>
      <w:r w:rsidRPr="00183D71">
        <w:rPr>
          <w:rFonts w:ascii="Times New Roman" w:eastAsia="Times New Roman" w:hAnsi="Times New Roman" w:cs="Times New Roman"/>
          <w:b/>
          <w:i/>
          <w:sz w:val="22"/>
          <w:szCs w:val="22"/>
        </w:rPr>
        <w:t>CONFESSION OF JUDGMENT</w:t>
      </w:r>
      <w:r>
        <w:rPr>
          <w:rFonts w:ascii="Times New Roman" w:eastAsia="Times New Roman" w:hAnsi="Times New Roman" w:cs="Times New Roman"/>
          <w:b/>
          <w:sz w:val="22"/>
          <w:szCs w:val="22"/>
        </w:rPr>
        <w:t xml:space="preserve">.  IF THE PRINCIPAL AMOUNT OF THIS NOTE, ANY INSTALLMENT OF INTEREST OR PRINCIPAL, OR ANY OTHER PAYMENT DUE UNDER THIS NOTE IS NOT PAID WHEN DUE, WHETHER BY MATURITY, ACCELERATION OR OTHERWISE, EACH OBLIGOR WHO SIGNS THIS INSTRUMENT HEREBY AUTHORIZES AND EMPOWERS ANY ATTORNEY OR CLERK OF ANY COURT OF RECORD IN THE UNITED STATES OR ELSEWHERE TO APPEAR FOR AND, WITH OR WITHOUT DECLARATION FILED, CONFESS JUDGMENT AGAINST IT AND IN FAVOR OF THE HOLDER OF THIS NOTE, AT ANY TIME, WITHOUT A PRIOR HEARING, AND IN THE AMOUNT OF THE OUTSTANDING PRINCIPAL BALANCE OF THIS NOTE, ALL ACCRUED AND UNPAID INTEREST, OUTSTANDING FEES AND LATE CHARGES, AND ALL OTHER AMOUNTS PAYABLE TO THE HOLDER UNDER THE TERMS OF THIS NOTE, INCLUDING COSTS OF SUIT AND REASONABLE ATTORNEY’S FEES INCURRED AS A RESULT OF, RELATED TO, OR IN CONNECTION WITH ANY DEFAULT UNDER THE NOTE AND ANY EFFORTS TO COLLECT ANY AMOUNT DUE UNDER THE NOTE OR ANY JUDGMENTS </w:t>
      </w:r>
      <w:r>
        <w:rPr>
          <w:rFonts w:ascii="Times New Roman" w:eastAsia="Times New Roman" w:hAnsi="Times New Roman" w:cs="Times New Roman"/>
          <w:b/>
          <w:sz w:val="22"/>
          <w:szCs w:val="22"/>
        </w:rPr>
        <w:lastRenderedPageBreak/>
        <w:t xml:space="preserve">ENTERED THEREON.  THE AUTHORITY AND POWER TO APPEAR FOR AND ENTER JUDGMENT AGAINST ANY OBLIGOR ON THIS NOTE SHALL NOT BE EXHAUSTED BY ONE OR MORE EXERCISES THEREOF OR BY ANY IMPERFECT EXERCISE THEREOF; SUCH AUTHORITY MAY BE EXERCISED ON ONE OR MORE OCCASIONS OR FROM TIME TO TIME IN THE SAME OR DIFFERENT JURISDICTION AS OFTEN AS HOLDER SHALL DEEM NECESSARY AND DESIRABLE, FOR ALL OF WHICH THIS NOTE SHALL BE SUFFICIENT WARRANT; IF ENFORCEMENT OF THIS NOTE RESULTS IN HOLDER OBTAINING A MONEY JUDGMENT AGAINST ANY OBLIGOR ON THIS NOTE, HOLDER’S RIGHT TO APPEAR AND CONFESS JUDGMENT FOR AMOUNTS DUE, INCLUDING THE PAYMENT AND REIMBURSEMENT OF REASONABLE ATTORNEY’S FEES AND COSTS ARISING AFTER THE ENTRY OF JUDGMENT (INCLUDING WITHOUT LIMITATION ATTORNEY’S FEES AND COSTS INCURRED TO COLLECT THE JUDGMENT OR LIQUIDATE AND COLLECT ANY COLLATERAL PLEDGED IN CONNECTION WITH THIS NOTE OR ANY OF THE OTHER LOAN DOCUMENTS) SHALL NOT BE EXTINGUISHED BY OR MERGED INTO ANY SUCH JUDGMENT BUT SHALL SURVIVE THE JUDGMENT AS A CLAIM AGAINST ANY SUCH OBLIGOR AND ANY SUCH COLLATERAL.  EACH OBLIGOR ON THIS NOTE HEREBY WAIVES AND RELEASES, TO THE EXTENT PERMITTED BY APPLICABLE LAW, ALL PROCEDURAL ERRORS AND ALL RIGHTS OF EXEMPTION, APPEAL, STAY OF EXECUTION, INQUISITION, AND EXTENSION UPON ANY LEVY ON REAL ESTATE OR PERSONAL PROPERTY TO WHICH SUCH OBLIGOR MAY OTHERWISE BE ENTITLED UNDER THE LAWS OF THE UNITED STATES OF AMERICA OR OF ANY STATE OR POSSESSION OF THE UNITED STATES OF AMERICA NOW IN FORCE AND WHICH MAY HEREINAFTER BE ENACTED.  </w:t>
      </w:r>
    </w:p>
    <w:p w14:paraId="00000033"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sz w:val="22"/>
          <w:szCs w:val="22"/>
        </w:rPr>
      </w:pPr>
    </w:p>
    <w:p w14:paraId="00000034"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sz w:val="22"/>
          <w:szCs w:val="22"/>
        </w:rPr>
      </w:pPr>
    </w:p>
    <w:p w14:paraId="00000035"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signature(s) and seal(s) of the Borrower are subscribed to this Note the day and year written above with the specific intention of creating a document under seal.</w:t>
      </w:r>
    </w:p>
    <w:p w14:paraId="00000036"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37"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WITNESS: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«BORROWER», a [Jurisdiction][type of entity]</w:t>
      </w:r>
    </w:p>
    <w:p w14:paraId="00000038"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39"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3A"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p w14:paraId="0000003B"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By:</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(SEAL)</w:t>
      </w:r>
    </w:p>
    <w:p w14:paraId="0000003C"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Name:  «SIGNER_NAME»</w:t>
      </w:r>
    </w:p>
    <w:p w14:paraId="0000003D" w14:textId="77777777" w:rsidR="00005C9D" w:rsidRDefault="005C609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Title:  «SIGNER_TITLE»</w:t>
      </w:r>
    </w:p>
    <w:p w14:paraId="0000003E" w14:textId="77777777" w:rsidR="00005C9D" w:rsidRDefault="00005C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Times New Roman" w:eastAsia="Times New Roman" w:hAnsi="Times New Roman" w:cs="Times New Roman"/>
          <w:sz w:val="22"/>
          <w:szCs w:val="22"/>
        </w:rPr>
      </w:pPr>
    </w:p>
    <w:sectPr w:rsidR="00005C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634C7" w14:textId="77777777" w:rsidR="006D2157" w:rsidRDefault="006D2157">
      <w:pPr>
        <w:spacing w:line="240" w:lineRule="auto"/>
        <w:ind w:left="0" w:hanging="2"/>
      </w:pPr>
      <w:r>
        <w:separator/>
      </w:r>
    </w:p>
  </w:endnote>
  <w:endnote w:type="continuationSeparator" w:id="0">
    <w:p w14:paraId="044C57F9" w14:textId="77777777" w:rsidR="006D2157" w:rsidRDefault="006D21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4048" w14:textId="77777777" w:rsidR="00680688" w:rsidRDefault="00680688" w:rsidP="0068068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005C9D" w:rsidRDefault="005C609E">
    <w:pPr>
      <w:widowControl/>
      <w:spacing w:line="276" w:lineRule="auto"/>
      <w:ind w:left="0" w:hanging="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w:t>
    </w:r>
  </w:p>
  <w:p w14:paraId="00000045" w14:textId="4683EBC3" w:rsidR="00005C9D" w:rsidRDefault="005C609E">
    <w:pPr>
      <w:widowControl/>
      <w:spacing w:line="276" w:lineRule="auto"/>
      <w:ind w:left="0" w:hanging="2"/>
      <w:jc w:val="right"/>
    </w:pPr>
    <w:r>
      <w:rPr>
        <w:rFonts w:ascii="Times New Roman" w:eastAsia="Times New Roman" w:hAnsi="Times New Roman" w:cs="Times New Roman"/>
        <w:sz w:val="16"/>
        <w:szCs w:val="16"/>
      </w:rPr>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8507E4">
      <w:rPr>
        <w:rFonts w:ascii="Times New Roman" w:eastAsia="Times New Roman" w:hAnsi="Times New Roman" w:cs="Times New Roman"/>
        <w:noProof/>
        <w:sz w:val="16"/>
        <w:szCs w:val="16"/>
      </w:rPr>
      <w:t>2</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NUMPAGES</w:instrText>
    </w:r>
    <w:r>
      <w:rPr>
        <w:rFonts w:ascii="Times New Roman" w:eastAsia="Times New Roman" w:hAnsi="Times New Roman" w:cs="Times New Roman"/>
        <w:sz w:val="16"/>
        <w:szCs w:val="16"/>
      </w:rPr>
      <w:fldChar w:fldCharType="separate"/>
    </w:r>
    <w:r w:rsidR="008507E4">
      <w:rPr>
        <w:rFonts w:ascii="Times New Roman" w:eastAsia="Times New Roman" w:hAnsi="Times New Roman" w:cs="Times New Roman"/>
        <w:noProof/>
        <w:sz w:val="16"/>
        <w:szCs w:val="16"/>
      </w:rPr>
      <w:t>5</w:t>
    </w:r>
    <w:r>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D011" w14:textId="4928753F" w:rsidR="00680688" w:rsidRDefault="00680688" w:rsidP="0068068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25553" w14:textId="77777777" w:rsidR="006D2157" w:rsidRDefault="006D2157">
      <w:pPr>
        <w:spacing w:line="240" w:lineRule="auto"/>
        <w:ind w:left="0" w:hanging="2"/>
      </w:pPr>
      <w:r>
        <w:separator/>
      </w:r>
    </w:p>
  </w:footnote>
  <w:footnote w:type="continuationSeparator" w:id="0">
    <w:p w14:paraId="79DE559A" w14:textId="77777777" w:rsidR="006D2157" w:rsidRDefault="006D2157">
      <w:pPr>
        <w:spacing w:line="240" w:lineRule="auto"/>
        <w:ind w:left="0" w:hanging="2"/>
      </w:pPr>
      <w:r>
        <w:continuationSeparator/>
      </w:r>
    </w:p>
  </w:footnote>
  <w:footnote w:id="1">
    <w:p w14:paraId="1280E13E" w14:textId="77777777" w:rsidR="00CC2F92" w:rsidRPr="00EA7315" w:rsidRDefault="00CC2F92" w:rsidP="00CC2F92">
      <w:pPr>
        <w:shd w:val="clear" w:color="auto" w:fill="FFFFFF"/>
        <w:spacing w:line="240" w:lineRule="auto"/>
        <w:ind w:left="0" w:hanging="2"/>
        <w:rPr>
          <w:rFonts w:ascii="Times New Roman" w:eastAsia="Times New Roman" w:hAnsi="Times New Roman" w:cs="Times New Roman"/>
          <w:color w:val="222222"/>
          <w:sz w:val="24"/>
          <w:szCs w:val="24"/>
        </w:rPr>
      </w:pPr>
      <w:r>
        <w:rPr>
          <w:rStyle w:val="FootnoteReference"/>
        </w:rPr>
        <w:footnoteRef/>
      </w:r>
      <w:r>
        <w:t xml:space="preserve"> “</w:t>
      </w:r>
      <w:r w:rsidRPr="00EA7315">
        <w:rPr>
          <w:rFonts w:ascii="Times New Roman" w:eastAsia="Times New Roman" w:hAnsi="Times New Roman" w:cs="Times New Roman"/>
          <w:color w:val="000000"/>
          <w:sz w:val="18"/>
          <w:szCs w:val="18"/>
        </w:rPr>
        <w:t>Hold</w:t>
      </w:r>
      <w:r>
        <w:rPr>
          <w:rFonts w:ascii="Times New Roman" w:eastAsia="Times New Roman" w:hAnsi="Times New Roman" w:cs="Times New Roman"/>
          <w:color w:val="000000"/>
          <w:sz w:val="18"/>
          <w:szCs w:val="18"/>
        </w:rPr>
        <w:t xml:space="preserve"> B</w:t>
      </w:r>
      <w:r w:rsidRPr="00EA7315">
        <w:rPr>
          <w:rFonts w:ascii="Times New Roman" w:eastAsia="Times New Roman" w:hAnsi="Times New Roman" w:cs="Times New Roman"/>
          <w:color w:val="000000"/>
          <w:sz w:val="18"/>
          <w:szCs w:val="18"/>
        </w:rPr>
        <w:t>ack</w:t>
      </w:r>
      <w:r>
        <w:rPr>
          <w:rFonts w:ascii="Times New Roman" w:eastAsia="Times New Roman" w:hAnsi="Times New Roman" w:cs="Times New Roman"/>
          <w:color w:val="000000"/>
          <w:sz w:val="18"/>
          <w:szCs w:val="18"/>
        </w:rPr>
        <w:t>”</w:t>
      </w:r>
      <w:r w:rsidRPr="00EA409B">
        <w:rPr>
          <w:rFonts w:ascii="Times New Roman" w:eastAsia="Times New Roman" w:hAnsi="Times New Roman" w:cs="Times New Roman"/>
          <w:color w:val="000000"/>
          <w:sz w:val="18"/>
          <w:szCs w:val="18"/>
        </w:rPr>
        <w:t>:  The</w:t>
      </w:r>
      <w:r w:rsidRPr="00EA7315">
        <w:rPr>
          <w:rFonts w:ascii="Times New Roman" w:eastAsia="Times New Roman" w:hAnsi="Times New Roman" w:cs="Times New Roman"/>
          <w:color w:val="000000"/>
          <w:sz w:val="18"/>
          <w:szCs w:val="18"/>
        </w:rPr>
        <w:t xml:space="preserve"> Project Draw schedule forecasting the Department's requisition payments (Exhibit B), provides that a portion of the Department's loan will be disbursed in two final payments.   The total amount of these last two payments is calculated to be approximately 10% of the Total Loan.   This amount is reserved, first, to ensure that the Project is executed in its totality in conformity with the Project Documents including construction.   Second, it allows for the most efficient administration of any adjustments following the Department's Final Determination of Mortgage Proceeds providing the final calculation of Project Costs, Revenues, and the appropriate amount of the Appraisal Gap subsidy.   Accordingly, the first of the two Holdback payments </w:t>
      </w:r>
      <w:r w:rsidRPr="00EA7315">
        <w:rPr>
          <w:rFonts w:ascii="Times New Roman" w:eastAsia="Times New Roman" w:hAnsi="Times New Roman" w:cs="Times New Roman"/>
          <w:strike/>
          <w:color w:val="000000"/>
          <w:sz w:val="18"/>
          <w:szCs w:val="18"/>
        </w:rPr>
        <w:t>upon</w:t>
      </w:r>
      <w:r w:rsidRPr="00EA7315">
        <w:rPr>
          <w:rFonts w:ascii="Times New Roman" w:eastAsia="Times New Roman" w:hAnsi="Times New Roman" w:cs="Times New Roman"/>
          <w:color w:val="000000"/>
          <w:sz w:val="18"/>
          <w:szCs w:val="18"/>
        </w:rPr>
        <w:t> will be made following the approved requisition after the sale of the project's final unit.   The second, and final, payment will be made upon submission of the Project's Closeout Package, any other outstanding items to be submitted to the Department, and the issuance of the Final Determination of Mortgage Proceeds.   The Final Payment may vary from the amount projected in the Draw Schedule depending upon actual Project Costs, Revenues, and the final Appraisal Gap.</w:t>
      </w:r>
    </w:p>
    <w:p w14:paraId="5B7F2EF3" w14:textId="5961A842" w:rsidR="00CC2F92" w:rsidRDefault="00CC2F92">
      <w:pPr>
        <w:pStyle w:val="FootnoteText"/>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005C9D" w:rsidRDefault="006D2157">
    <w:pPr>
      <w:pBdr>
        <w:top w:val="nil"/>
        <w:left w:val="nil"/>
        <w:bottom w:val="nil"/>
        <w:right w:val="nil"/>
        <w:between w:val="nil"/>
      </w:pBdr>
      <w:tabs>
        <w:tab w:val="center" w:pos="4320"/>
        <w:tab w:val="right" w:pos="8640"/>
      </w:tabs>
      <w:spacing w:line="240" w:lineRule="auto"/>
      <w:ind w:left="0" w:hanging="2"/>
      <w:rPr>
        <w:color w:val="000000"/>
      </w:rPr>
    </w:pPr>
    <w:r>
      <w:rPr>
        <w:color w:val="000000"/>
      </w:rPr>
      <w:pict w14:anchorId="2BC4D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2pt;height:247pt;rotation:315;z-index:-251657728;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56DE" w14:textId="60E3B9E2" w:rsidR="00680688" w:rsidRDefault="004D1EFF">
    <w:pPr>
      <w:pBdr>
        <w:top w:val="nil"/>
        <w:left w:val="nil"/>
        <w:bottom w:val="nil"/>
        <w:right w:val="nil"/>
        <w:between w:val="nil"/>
      </w:pBdr>
      <w:tabs>
        <w:tab w:val="center" w:pos="4320"/>
        <w:tab w:val="right" w:pos="8640"/>
        <w:tab w:val="right" w:pos="9360"/>
      </w:tabs>
      <w:spacing w:line="240" w:lineRule="auto"/>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Project Name Project No.</w:t>
    </w:r>
  </w:p>
  <w:p w14:paraId="00000043" w14:textId="03E51B71" w:rsidR="00005C9D" w:rsidRDefault="006D2157">
    <w:pPr>
      <w:pBdr>
        <w:top w:val="nil"/>
        <w:left w:val="nil"/>
        <w:bottom w:val="nil"/>
        <w:right w:val="nil"/>
        <w:between w:val="nil"/>
      </w:pBdr>
      <w:tabs>
        <w:tab w:val="center" w:pos="4320"/>
        <w:tab w:val="right" w:pos="8640"/>
        <w:tab w:val="right" w:pos="9360"/>
      </w:tabs>
      <w:spacing w:line="240" w:lineRule="auto"/>
      <w:ind w:left="0" w:hanging="2"/>
      <w:rPr>
        <w:rFonts w:ascii="Times New Roman" w:eastAsia="Times New Roman" w:hAnsi="Times New Roman" w:cs="Times New Roman"/>
        <w:color w:val="000000"/>
        <w:sz w:val="16"/>
        <w:szCs w:val="16"/>
      </w:rPr>
    </w:pPr>
    <w:r>
      <w:rPr>
        <w:color w:val="000000"/>
      </w:rPr>
      <w:pict w14:anchorId="38D02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12pt;height:247pt;rotation:315;z-index:-251659776;mso-position-horizontal:center;mso-position-horizontal-relative:margin;mso-position-vertical:center;mso-position-vertical-relative:margin" fillcolor="silver" stroked="f">
          <v:fill opacity=".5"/>
          <v:textpath style="font-family:&quot;&amp;quot&quot;;font-size:1pt" string="DRAFT"/>
          <w10:wrap anchorx="margin" anchory="margin"/>
        </v:shape>
      </w:pict>
    </w:r>
    <w:r w:rsidR="005C609E">
      <w:rPr>
        <w:rFonts w:ascii="Times New Roman" w:eastAsia="Times New Roman" w:hAnsi="Times New Roman" w:cs="Times New Roman"/>
        <w:sz w:val="16"/>
        <w:szCs w:val="16"/>
      </w:rPr>
      <w:t xml:space="preserve">UPLIFT </w:t>
    </w:r>
    <w:r w:rsidR="005C609E">
      <w:rPr>
        <w:rFonts w:ascii="Times New Roman" w:eastAsia="Times New Roman" w:hAnsi="Times New Roman" w:cs="Times New Roman"/>
        <w:color w:val="000000"/>
        <w:sz w:val="16"/>
        <w:szCs w:val="16"/>
      </w:rPr>
      <w:t>Developer</w:t>
    </w:r>
    <w:r w:rsidR="005C609E">
      <w:rPr>
        <w:rFonts w:ascii="Times New Roman" w:eastAsia="Times New Roman" w:hAnsi="Times New Roman" w:cs="Times New Roman"/>
        <w:sz w:val="16"/>
        <w:szCs w:val="16"/>
      </w:rPr>
      <w:t xml:space="preserve"> Note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F" w14:textId="77777777" w:rsidR="00005C9D" w:rsidRDefault="006D2157">
    <w:pPr>
      <w:pBdr>
        <w:top w:val="nil"/>
        <w:left w:val="nil"/>
        <w:bottom w:val="nil"/>
        <w:right w:val="nil"/>
        <w:between w:val="nil"/>
      </w:pBdr>
      <w:tabs>
        <w:tab w:val="center" w:pos="4320"/>
        <w:tab w:val="right" w:pos="8640"/>
      </w:tabs>
      <w:spacing w:line="240" w:lineRule="auto"/>
      <w:ind w:left="0" w:hanging="2"/>
      <w:rPr>
        <w:color w:val="000000"/>
      </w:rPr>
    </w:pPr>
    <w:r>
      <w:rPr>
        <w:rFonts w:ascii="Times New Roman" w:eastAsia="Times New Roman" w:hAnsi="Times New Roman" w:cs="Times New Roman"/>
        <w:sz w:val="22"/>
        <w:szCs w:val="22"/>
      </w:rPr>
      <w:pict w14:anchorId="35092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12pt;height:247pt;rotation:315;z-index:-251658752;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37E4A"/>
    <w:multiLevelType w:val="multilevel"/>
    <w:tmpl w:val="650024F0"/>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C9D"/>
    <w:rsid w:val="00005C9D"/>
    <w:rsid w:val="0012780C"/>
    <w:rsid w:val="00183D71"/>
    <w:rsid w:val="00464BAB"/>
    <w:rsid w:val="0046769D"/>
    <w:rsid w:val="004D1EFF"/>
    <w:rsid w:val="005C609E"/>
    <w:rsid w:val="00680688"/>
    <w:rsid w:val="006D2157"/>
    <w:rsid w:val="008507E4"/>
    <w:rsid w:val="00A17BD7"/>
    <w:rsid w:val="00C74BB0"/>
    <w:rsid w:val="00CC2F92"/>
    <w:rsid w:val="00DC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F92EAF"/>
  <w15:docId w15:val="{9C37B2B2-9BC2-481C-B3F3-1BE9FB2E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rPr>
      <w:sz w:val="24"/>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4"/>
    </w:rPr>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pPr>
      <w:tabs>
        <w:tab w:val="right" w:leader="dot" w:pos="9360"/>
      </w:tabs>
      <w:suppressAutoHyphens w:val="0"/>
      <w:spacing w:before="480"/>
      <w:ind w:left="720" w:right="720" w:hanging="720"/>
    </w:pPr>
  </w:style>
  <w:style w:type="paragraph" w:styleId="TOC2">
    <w:name w:val="toc 2"/>
    <w:basedOn w:val="Normal"/>
    <w:next w:val="Normal"/>
    <w:pPr>
      <w:tabs>
        <w:tab w:val="right" w:leader="dot" w:pos="9360"/>
      </w:tabs>
      <w:suppressAutoHyphens w:val="0"/>
      <w:ind w:left="1440" w:right="720" w:hanging="720"/>
    </w:pPr>
  </w:style>
  <w:style w:type="paragraph" w:styleId="TOC3">
    <w:name w:val="toc 3"/>
    <w:basedOn w:val="Normal"/>
    <w:next w:val="Normal"/>
    <w:pPr>
      <w:tabs>
        <w:tab w:val="right" w:leader="dot" w:pos="9360"/>
      </w:tabs>
      <w:suppressAutoHyphens w:val="0"/>
      <w:ind w:left="2160" w:right="720" w:hanging="720"/>
    </w:pPr>
  </w:style>
  <w:style w:type="paragraph" w:styleId="TOC4">
    <w:name w:val="toc 4"/>
    <w:basedOn w:val="Normal"/>
    <w:next w:val="Normal"/>
    <w:pPr>
      <w:tabs>
        <w:tab w:val="right" w:leader="dot" w:pos="9360"/>
      </w:tabs>
      <w:suppressAutoHyphens w:val="0"/>
      <w:ind w:left="2880" w:right="720" w:hanging="720"/>
    </w:pPr>
  </w:style>
  <w:style w:type="paragraph" w:styleId="TOC5">
    <w:name w:val="toc 5"/>
    <w:basedOn w:val="Normal"/>
    <w:next w:val="Normal"/>
    <w:pPr>
      <w:tabs>
        <w:tab w:val="right" w:leader="dot" w:pos="9360"/>
      </w:tabs>
      <w:suppressAutoHyphens w:val="0"/>
      <w:ind w:left="3600" w:right="720" w:hanging="720"/>
    </w:pPr>
  </w:style>
  <w:style w:type="paragraph" w:styleId="TOC6">
    <w:name w:val="toc 6"/>
    <w:basedOn w:val="Normal"/>
    <w:next w:val="Normal"/>
    <w:pPr>
      <w:tabs>
        <w:tab w:val="right" w:pos="9360"/>
      </w:tabs>
      <w:suppressAutoHyphens w:val="0"/>
      <w:ind w:left="720" w:hanging="720"/>
    </w:pPr>
  </w:style>
  <w:style w:type="paragraph" w:styleId="TOC7">
    <w:name w:val="toc 7"/>
    <w:basedOn w:val="Normal"/>
    <w:next w:val="Normal"/>
    <w:pPr>
      <w:suppressAutoHyphens w:val="0"/>
      <w:ind w:left="720" w:hanging="720"/>
    </w:pPr>
  </w:style>
  <w:style w:type="paragraph" w:styleId="TOC8">
    <w:name w:val="toc 8"/>
    <w:basedOn w:val="Normal"/>
    <w:next w:val="Normal"/>
    <w:pPr>
      <w:tabs>
        <w:tab w:val="right" w:pos="9360"/>
      </w:tabs>
      <w:suppressAutoHyphens w:val="0"/>
      <w:ind w:left="720" w:hanging="720"/>
    </w:pPr>
  </w:style>
  <w:style w:type="paragraph" w:styleId="TOC9">
    <w:name w:val="toc 9"/>
    <w:basedOn w:val="Normal"/>
    <w:next w:val="Normal"/>
    <w:pPr>
      <w:tabs>
        <w:tab w:val="right" w:leader="dot" w:pos="9360"/>
      </w:tabs>
      <w:suppressAutoHyphens w:val="0"/>
      <w:ind w:left="720" w:hanging="720"/>
    </w:pPr>
  </w:style>
  <w:style w:type="paragraph" w:styleId="Index1">
    <w:name w:val="index 1"/>
    <w:basedOn w:val="Normal"/>
    <w:next w:val="Normal"/>
    <w:pPr>
      <w:tabs>
        <w:tab w:val="right" w:leader="dot" w:pos="9360"/>
      </w:tabs>
      <w:suppressAutoHyphens w:val="0"/>
      <w:ind w:left="1440" w:right="720" w:hanging="1440"/>
    </w:pPr>
  </w:style>
  <w:style w:type="paragraph" w:styleId="Index2">
    <w:name w:val="index 2"/>
    <w:basedOn w:val="Normal"/>
    <w:next w:val="Normal"/>
    <w:pPr>
      <w:tabs>
        <w:tab w:val="right" w:leader="dot" w:pos="9360"/>
      </w:tabs>
      <w:suppressAutoHyphens w:val="0"/>
      <w:ind w:left="1440" w:right="720" w:hanging="720"/>
    </w:pPr>
  </w:style>
  <w:style w:type="paragraph" w:styleId="TOAHeading">
    <w:name w:val="toa heading"/>
    <w:basedOn w:val="Normal"/>
    <w:next w:val="Normal"/>
    <w:pPr>
      <w:tabs>
        <w:tab w:val="right" w:pos="9360"/>
      </w:tabs>
      <w:suppressAutoHyphens w:val="0"/>
    </w:pPr>
  </w:style>
  <w:style w:type="paragraph" w:styleId="Caption">
    <w:name w:val="caption"/>
    <w:basedOn w:val="Normal"/>
    <w:next w:val="Normal"/>
    <w:rPr>
      <w:sz w:val="24"/>
    </w:rPr>
  </w:style>
  <w:style w:type="character" w:customStyle="1" w:styleId="EquationCaption">
    <w:name w:val="_Equation Caption"/>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rPr>
      <w:rFonts w:ascii="Courier New" w:hAnsi="Courier New"/>
      <w:w w:val="100"/>
      <w:position w:val="-1"/>
      <w:effect w:val="none"/>
      <w:vertAlign w:val="baseline"/>
      <w:cs w:val="0"/>
      <w:em w:val="none"/>
    </w:rPr>
  </w:style>
  <w:style w:type="character" w:customStyle="1" w:styleId="il">
    <w:name w:val="il"/>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ListParagraph1">
    <w:name w:val="ListParagraph_1"/>
    <w:uiPriority w:val="34"/>
    <w:qFormat/>
    <w:rsid w:val="00DC5014"/>
    <w:pPr>
      <w:suppressAutoHyphens/>
      <w:spacing w:line="1" w:lineRule="atLeast"/>
      <w:ind w:leftChars="-1" w:left="720" w:hangingChars="1" w:hanging="1"/>
      <w:contextualSpacing/>
      <w:textDirection w:val="btLr"/>
      <w:textAlignment w:val="top"/>
      <w:outlineLvl w:val="0"/>
    </w:pPr>
    <w:rPr>
      <w:position w:val="-1"/>
    </w:rPr>
  </w:style>
  <w:style w:type="character" w:customStyle="1" w:styleId="FooterChar">
    <w:name w:val="Footer Char"/>
    <w:basedOn w:val="DefaultParagraphFont"/>
    <w:link w:val="Footer"/>
    <w:uiPriority w:val="99"/>
    <w:rsid w:val="00CC2F9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HF0pXE1VivuOuu5paZjd7/nSw==">CgMxLjA4AGpFCjVzdWdnZXN0SWRJbXBvcnQ3OGE3NzI5YS03MmQ5LTRlNTctOGFhYS0wOWZhNDgyYjM3MDFfMRIMR3JpZmZpbiwgQW5uakUKNXN1Z2dlc3RJZEltcG9ydDc4YTc3MjlhLTcyZDktNGU1Ny04YWFhLTA5ZmE0ODJiMzcwMV8yEgxHcmlmZmluLCBBbm5qRQo1c3VnZ2VzdElkSW1wb3J0NzhhNzcyOWEtNzJkOS00ZTU3LThhYWEtMDlmYTQ4MmIzNzAxXzMSDEdyaWZmaW4sIEFubnIhMWVMalZoX3dIYVF6bFRFeHp5LWRqZkdmVGFjUVFjNGp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83E834-9952-41FE-A137-802E30B709E7}"/>
</file>

<file path=customXml/itemProps3.xml><?xml version="1.0" encoding="utf-8"?>
<ds:datastoreItem xmlns:ds="http://schemas.openxmlformats.org/officeDocument/2006/customXml" ds:itemID="{505A3385-9915-4496-8417-87DB0A842333}"/>
</file>

<file path=customXml/itemProps4.xml><?xml version="1.0" encoding="utf-8"?>
<ds:datastoreItem xmlns:ds="http://schemas.openxmlformats.org/officeDocument/2006/customXml" ds:itemID="{70601BD7-A8DF-44E0-8189-0CD602E5025E}"/>
</file>

<file path=docProps/app.xml><?xml version="1.0" encoding="utf-8"?>
<Properties xmlns="http://schemas.openxmlformats.org/officeDocument/2006/extended-properties" xmlns:vt="http://schemas.openxmlformats.org/officeDocument/2006/docPropsVTypes">
  <Template>Normal</Template>
  <TotalTime>1</TotalTime>
  <Pages>5</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Bokeno</dc:creator>
  <cp:lastModifiedBy>Morgan, Mira</cp:lastModifiedBy>
  <cp:revision>3</cp:revision>
  <dcterms:created xsi:type="dcterms:W3CDTF">2025-04-10T19:37:00Z</dcterms:created>
  <dcterms:modified xsi:type="dcterms:W3CDTF">2025-04-10T20:07:00Z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e729639c-bd5c-4f9c-b329-cc08099f12bb</vt:lpwstr>
  </property>
  <property fmtid="{D5CDD505-2E9C-101B-9397-08002B2CF9AE}" pid="3" name="ContentTypeId">
    <vt:lpwstr>0x01010012D2809D534E2E4791F34A639EDE4B8D</vt:lpwstr>
  </property>
</Properties>
</file>